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BF" w:rsidRPr="00027C0F" w:rsidRDefault="00894EBF" w:rsidP="00255C54">
      <w:pPr>
        <w:pStyle w:val="ConsPlusTitle"/>
        <w:jc w:val="center"/>
        <w:outlineLvl w:val="1"/>
        <w:rPr>
          <w:sz w:val="24"/>
          <w:szCs w:val="24"/>
        </w:rPr>
      </w:pPr>
      <w:r w:rsidRPr="00027C0F">
        <w:rPr>
          <w:sz w:val="24"/>
          <w:szCs w:val="24"/>
        </w:rPr>
        <w:t>ПАСПОРТ</w:t>
      </w:r>
    </w:p>
    <w:p w:rsidR="00894EBF" w:rsidRPr="00027C0F" w:rsidRDefault="00894EBF" w:rsidP="00255C54">
      <w:pPr>
        <w:pStyle w:val="ConsPlusTitle"/>
        <w:jc w:val="center"/>
        <w:rPr>
          <w:sz w:val="24"/>
          <w:szCs w:val="24"/>
        </w:rPr>
      </w:pPr>
      <w:r w:rsidRPr="00027C0F">
        <w:rPr>
          <w:sz w:val="24"/>
          <w:szCs w:val="24"/>
        </w:rPr>
        <w:t>государстве</w:t>
      </w:r>
      <w:r w:rsidR="005F3C05" w:rsidRPr="00027C0F">
        <w:rPr>
          <w:sz w:val="24"/>
          <w:szCs w:val="24"/>
        </w:rPr>
        <w:t>нной программы Республики Тыва «</w:t>
      </w:r>
      <w:r w:rsidRPr="00027C0F">
        <w:rPr>
          <w:sz w:val="24"/>
          <w:szCs w:val="24"/>
        </w:rPr>
        <w:t>Социальная</w:t>
      </w:r>
    </w:p>
    <w:p w:rsidR="00894EBF" w:rsidRPr="00027C0F" w:rsidRDefault="00894EBF" w:rsidP="00255C54">
      <w:pPr>
        <w:pStyle w:val="ConsPlusTitle"/>
        <w:jc w:val="center"/>
        <w:rPr>
          <w:sz w:val="24"/>
          <w:szCs w:val="24"/>
        </w:rPr>
      </w:pPr>
      <w:r w:rsidRPr="00027C0F">
        <w:rPr>
          <w:sz w:val="24"/>
          <w:szCs w:val="24"/>
        </w:rPr>
        <w:t>поддержка граж</w:t>
      </w:r>
      <w:r w:rsidR="005F3C05" w:rsidRPr="00027C0F">
        <w:rPr>
          <w:sz w:val="24"/>
          <w:szCs w:val="24"/>
        </w:rPr>
        <w:t>дан в Республике Тыва на 2021-2023 годы»</w:t>
      </w:r>
    </w:p>
    <w:p w:rsidR="002E1B55" w:rsidRPr="00027C0F" w:rsidRDefault="002E1B55" w:rsidP="00255C54">
      <w:pPr>
        <w:pStyle w:val="ConsPlusTitle"/>
        <w:jc w:val="center"/>
        <w:rPr>
          <w:sz w:val="24"/>
          <w:szCs w:val="24"/>
        </w:rPr>
      </w:pPr>
      <w:r w:rsidRPr="00027C0F">
        <w:rPr>
          <w:sz w:val="24"/>
          <w:szCs w:val="24"/>
        </w:rPr>
        <w:t>(далее - Программа)</w:t>
      </w:r>
    </w:p>
    <w:p w:rsidR="00B86132" w:rsidRPr="00027C0F" w:rsidRDefault="00AF48AD" w:rsidP="00255C5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B86132" w:rsidRPr="00027C0F">
        <w:rPr>
          <w:sz w:val="24"/>
          <w:szCs w:val="24"/>
        </w:rPr>
        <w:t>т 06.04.2022 N 177</w:t>
      </w:r>
    </w:p>
    <w:p w:rsidR="00894EBF" w:rsidRPr="00027C0F" w:rsidRDefault="00894EBF" w:rsidP="00255C5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DC07C6" w:rsidRPr="00027C0F">
        <w:tc>
          <w:tcPr>
            <w:tcW w:w="3118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Pr="00027C0F">
              <w:rPr>
                <w:rFonts w:cs="Times New Roman"/>
                <w:sz w:val="24"/>
                <w:szCs w:val="24"/>
              </w:rPr>
              <w:t>Социальная поддержка граждан в Республике Тыва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Pr="00027C0F">
              <w:rPr>
                <w:rFonts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Государс</w:t>
            </w:r>
            <w:r w:rsidR="00EF32E4" w:rsidRPr="00027C0F">
              <w:rPr>
                <w:rFonts w:cs="Times New Roman"/>
                <w:sz w:val="24"/>
                <w:szCs w:val="24"/>
              </w:rPr>
              <w:t>твенный заказчик - координатор п</w:t>
            </w:r>
            <w:r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EF32E4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Ответственные исполнители п</w:t>
            </w:r>
            <w:r w:rsidR="00DC07C6"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Соисполните</w:t>
            </w:r>
            <w:r w:rsidR="00EF32E4" w:rsidRPr="00027C0F">
              <w:rPr>
                <w:rFonts w:cs="Times New Roman"/>
                <w:sz w:val="24"/>
                <w:szCs w:val="24"/>
              </w:rPr>
              <w:t>ли п</w:t>
            </w:r>
            <w:r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027C0F">
              <w:rPr>
                <w:rFonts w:cs="Times New Roman"/>
                <w:sz w:val="24"/>
                <w:szCs w:val="24"/>
              </w:rPr>
              <w:t xml:space="preserve">Министерство образования Республики Тыва, Министерство культуры и туризма Республики Тыва, Министерство спорта Республики Тыва, Министерство здравоохранения Республики Тыва, Министерство цифрового развития Республики Тыва, Министерство строительства Республики Тыва, Министерство жилищно-коммунального хозяйства Республики Тыва, Министерство топлива и энергетики Республики Тыва, Государственное казенное учреждение Республики Тыва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27C0F">
              <w:rPr>
                <w:rFonts w:cs="Times New Roman"/>
                <w:sz w:val="24"/>
                <w:szCs w:val="24"/>
              </w:rPr>
              <w:t>Госстройзаказ</w:t>
            </w:r>
            <w:proofErr w:type="spellEnd"/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Pr="00027C0F">
              <w:rPr>
                <w:rFonts w:cs="Times New Roman"/>
                <w:sz w:val="24"/>
                <w:szCs w:val="24"/>
              </w:rPr>
              <w:t>, Министерство внутренних дел по Республике Тыва (по согласованию), Управление Федеральной службы исполнения наказаний по Республике Тыва</w:t>
            </w:r>
            <w:proofErr w:type="gramEnd"/>
            <w:r w:rsidRPr="00027C0F">
              <w:rPr>
                <w:rFonts w:cs="Times New Roman"/>
                <w:sz w:val="24"/>
                <w:szCs w:val="24"/>
              </w:rPr>
              <w:t xml:space="preserve"> (по согласованию), органы местного самоуправления муниципальных образований (по согласованию)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EF32E4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Участники п</w:t>
            </w:r>
            <w:r w:rsidR="00DC07C6"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социально ориентированные некоммерческие организации, действующие на территории Республики Тыва (по согласованию)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EF32E4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Подпрограммы п</w:t>
            </w:r>
            <w:r w:rsidR="00DC07C6"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5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1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Предоставление мер социальной поддержки отдельным категориям граждан в Республике Тыва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="00DC07C6" w:rsidRPr="00027C0F">
              <w:rPr>
                <w:rFonts w:cs="Times New Roman"/>
                <w:sz w:val="24"/>
                <w:szCs w:val="24"/>
              </w:rPr>
              <w:t>;</w:t>
            </w:r>
          </w:p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6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2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Социальная поддержка и обслуживание граждан пожилого возраста и инвалидов в Республике Тыва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="00DC07C6" w:rsidRPr="00027C0F">
              <w:rPr>
                <w:rFonts w:cs="Times New Roman"/>
                <w:sz w:val="24"/>
                <w:szCs w:val="24"/>
              </w:rPr>
              <w:t>;</w:t>
            </w:r>
          </w:p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7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3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Социальная реабилитация лиц, освободившихся из мест лишения свободы, и лиц, осужденных без изоляции от общества,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="00DC07C6" w:rsidRPr="00027C0F">
              <w:rPr>
                <w:rFonts w:cs="Times New Roman"/>
                <w:sz w:val="24"/>
                <w:szCs w:val="24"/>
              </w:rPr>
              <w:t>;</w:t>
            </w:r>
          </w:p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8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4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Поддержка социально ориентированных некоммерческих организаций в Республике Тыва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="00DC07C6" w:rsidRPr="00027C0F">
              <w:rPr>
                <w:rFonts w:cs="Times New Roman"/>
                <w:sz w:val="24"/>
                <w:szCs w:val="24"/>
              </w:rPr>
              <w:t>;</w:t>
            </w:r>
          </w:p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9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5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Социальная защита семьи и детей в Республике Тыва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EF32E4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lastRenderedPageBreak/>
              <w:t>Цели п</w:t>
            </w:r>
            <w:r w:rsidR="00DC07C6"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- МГН) в Республике Тыва;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повышение уровня и качества жизни пожилых граждан, инвалидов, отдельных категорий населения, в отношении которых законодательно установлены обязательства государства по предоставлению мер социальной поддержки;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социальная реабилитация и адаптация лиц, освободившихся из мест лишения свободы, и лиц, осужденных без изоляции от общества, направленная на восстановление утраченных общественных связей;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формирование организационных, правовых, финансовых и социально-экономических условий для деятельности социально ориентированных некоммерческих организаций, направленных на решение актуальных социальных проблем, развитие человеческого капитала, повышение доступности предоставляемых гражданам социальных услуг;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повышение качества и эффективности социальной поддержки семей с детьми;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развитие и повышение эффективности системы отдыха и оздоровления детей, находящихся в трудной жизненной ситуации;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повышение качества жизни и обеспечение прав на меры социальной поддержки отдельных категорий граждан, проживающих в Республике Тыва;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повышение качества и эффективности социального обслуживания граждан, находящихся в трудной жизненной ситуации;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государственная поддержка решения жилищной проблемы детей-сирот, детей, оставшихся без попечения родителей, лиц из числа детей-сирот и детей, оставшихся без попечения родителей;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социальная поддержка семей, имеющих несовершеннолетних детей, проживающих в сельских населенных пунктах на территории Республики Тыва;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снижение уровня бедности;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оказание государственной социальной помощи на </w:t>
            </w:r>
            <w:r w:rsidRPr="00027C0F">
              <w:rPr>
                <w:rFonts w:cs="Times New Roman"/>
                <w:sz w:val="24"/>
                <w:szCs w:val="24"/>
              </w:rPr>
              <w:lastRenderedPageBreak/>
              <w:t>основании социального контракта отдельным категориям граждан;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оказание мер поддержки в рамках губернаторского проекта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Pr="00027C0F">
              <w:rPr>
                <w:rFonts w:cs="Times New Roman"/>
                <w:sz w:val="24"/>
                <w:szCs w:val="24"/>
              </w:rPr>
              <w:t>Социальный картофель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Pr="00027C0F">
              <w:rPr>
                <w:rFonts w:cs="Times New Roman"/>
                <w:sz w:val="24"/>
                <w:szCs w:val="24"/>
              </w:rPr>
              <w:t>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оказание мер поддержки в рамках губернаторского проекта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Pr="00027C0F">
              <w:rPr>
                <w:rFonts w:cs="Times New Roman"/>
                <w:sz w:val="24"/>
                <w:szCs w:val="24"/>
              </w:rPr>
              <w:t>Корова - кормилица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Pr="00027C0F">
              <w:rPr>
                <w:rFonts w:cs="Times New Roman"/>
                <w:sz w:val="24"/>
                <w:szCs w:val="24"/>
              </w:rPr>
              <w:t>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оказание мер поддержки в рамках губернаторского проекта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Pr="00027C0F">
              <w:rPr>
                <w:rFonts w:cs="Times New Roman"/>
                <w:sz w:val="24"/>
                <w:szCs w:val="24"/>
              </w:rPr>
              <w:t>Социальный уголь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Pr="00027C0F">
              <w:rPr>
                <w:rFonts w:cs="Times New Roman"/>
                <w:sz w:val="24"/>
                <w:szCs w:val="24"/>
              </w:rPr>
              <w:t>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ежемесячной денежной выплаты на ребенка в возрасте от трех до семи лет включительно;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ежемесячной денежной выплаты, назначаемой в случае рождения третьего ребенка или последующих детей до достижения ребенком возраста трех лет;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осуществление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EF32E4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lastRenderedPageBreak/>
              <w:t>Задачи п</w:t>
            </w:r>
            <w:r w:rsidR="00DC07C6"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адресного предоставления отдельным категориям граждан социальной помощи, услуг социального характера в соответствии с региональным законодательством;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граждан пожилого возраста информацией о принимаемых мерах по улучшению их правового, социально-экономического положения, о предоставляемых социальных услугах организациями социального обслуживания;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улучшение качества социального обслуживания граждан пожилого возраста, повышение престижа профессии социальных работников;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финансово-хозяйственной деятельности стационарных организаций социального обслуживания;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реализация комплекса мероприятий по социальной реабилитации и адаптации лиц, освободившихся из мест лишения свободы, и лиц, осужденных без изоляции от общества, направленная на восстановление утраченных общественных связей;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формирование благоприятных условий для осуществления деятельности социально ориентированных некоммерческих организаций;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привлечение (через проведение конкурсных процедур) большего количества социально ориентированных некоммерческих организаций к решению задач социально-экономического и культурного развития региона;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повышение гражданской активности жителей Республики Тыва через участие в реализации </w:t>
            </w:r>
            <w:r w:rsidRPr="00027C0F">
              <w:rPr>
                <w:rFonts w:cs="Times New Roman"/>
                <w:sz w:val="24"/>
                <w:szCs w:val="24"/>
              </w:rPr>
              <w:lastRenderedPageBreak/>
              <w:t>проектов социально ориентированных некоммерческих организаций;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развитие практики благотворительной деятельности граждан и организаций, а также стимулирование и распространен</w:t>
            </w:r>
            <w:r w:rsidR="005F3C05" w:rsidRPr="00027C0F">
              <w:rPr>
                <w:rFonts w:cs="Times New Roman"/>
                <w:sz w:val="24"/>
                <w:szCs w:val="24"/>
              </w:rPr>
              <w:t xml:space="preserve">ие добровольческой деятельности </w:t>
            </w:r>
            <w:r w:rsidRPr="00027C0F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027C0F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027C0F">
              <w:rPr>
                <w:rFonts w:cs="Times New Roman"/>
                <w:sz w:val="24"/>
                <w:szCs w:val="24"/>
              </w:rPr>
              <w:t>);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выполнения в полном объеме государственных гарантий по предоставлению мер социальной поддержки семьям с детьми;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профилактика социального неблагополучия семей с детьми;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оказание социальных услуг семьям, детям, гражданам, находящимся в трудной жизненной ситуации, направленных на содействие улучшению их социального, материального положения и социально-психологического статуса;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повышение уровня оказания социальных услуг путем методического обеспечения специалистов организаций социального обслуживания семьи и детей Республики Тыва;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предоставление натуральной помощи семьям, стимулирование активных действий по преодолению трудной жизненной ситуации;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отдыхом детей, находящихся в трудной жизненной ситуации;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строительство (приобретение) жилых помещений для последующего обеспечения жилыми помещениями детей-сирот и детей, оставшихся без попечения родителей, лиц из числа детей-сирот и детей, оставшихся попечения родителей, по договорам найма специализированных жилых помещений;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учет жилых помещений, включенных в специализированный жилищный фонд Республики Тыва и переданных на праве оперативного управления;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реализация комплекса мер по обеспечению прав и законных интересов детей-сирот и детей, оставшихся без попечения родителей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EF32E4" w:rsidRPr="00027C0F">
              <w:rPr>
                <w:rFonts w:cs="Times New Roman"/>
                <w:sz w:val="24"/>
                <w:szCs w:val="24"/>
              </w:rPr>
              <w:t>п</w:t>
            </w:r>
            <w:r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охват пожилых людей, принявших участие в социально значимых мероприятиях, - 1600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удовлетворенность качеством предоставления социальных услуг их получателями в стационарных учреждениях социального обслуживания - 100 процентов;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lastRenderedPageBreak/>
              <w:t>уменьшение жалоб от получателей социальных выплат на качество их предоставления - 4 случая;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участие негосударственных учреждений, некоммерческих организаций, субъектов малого и среднего бизнеса в предоставлении социальных услуг в сфере социального обслуживания - 4 единицы;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численность лиц, освободившихся из мест лишения свободы, и лиц, осужденных без изоляции от общества, получивших государственные услуги по содействию в поиске работы, организации общественных и временных работ и временного трудоустройства, - 112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количество социально ориентированных некоммерческих организаций, принявших участие в конкурсе на получение государственной поддержки, - 0 единиц;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в полном объеме компенсацией отдельных категорий граждан для оплаты взноса на капитальный ремонт общего имущества в многоквартирном доме - 300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снижение уровня бедности - 27,1 процента;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в полном объеме социальных выплат - 100 процентов;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численность семей с детьми, преодолевших трудную жизненную ситуацию посредством сопровождения, - 500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численность детей, находящихся в трудной жизненной ситуации, отдохнувших в детских оздоровительных лагерях стационарного типа, - 1915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создание рабочих мест при организации летнего отдыха, в год - 192 единицы;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количество учреждений социального обслуживания населения, внедривших социальное сопровождение семей с детьми, - 20 единиц;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предоставление социального обслуживания в стационарной форме, в год - 66506 койко-дней;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предоставление социального обслуживания в полустационарной форме, в год - 41513 </w:t>
            </w:r>
            <w:proofErr w:type="spellStart"/>
            <w:r w:rsidRPr="00027C0F">
              <w:rPr>
                <w:rFonts w:cs="Times New Roman"/>
                <w:sz w:val="24"/>
                <w:szCs w:val="24"/>
              </w:rPr>
              <w:t>детодней</w:t>
            </w:r>
            <w:proofErr w:type="spellEnd"/>
            <w:r w:rsidRPr="00027C0F">
              <w:rPr>
                <w:rFonts w:cs="Times New Roman"/>
                <w:sz w:val="24"/>
                <w:szCs w:val="24"/>
              </w:rPr>
              <w:t>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027C0F">
              <w:rPr>
                <w:rFonts w:cs="Times New Roman"/>
                <w:sz w:val="24"/>
                <w:szCs w:val="24"/>
              </w:rPr>
              <w:t>доля детей, оставшихся без попечения родителей,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- 99 процентов;</w:t>
            </w:r>
            <w:proofErr w:type="gramEnd"/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Pr="00027C0F">
              <w:rPr>
                <w:rFonts w:cs="Times New Roman"/>
                <w:sz w:val="24"/>
                <w:szCs w:val="24"/>
              </w:rPr>
              <w:lastRenderedPageBreak/>
              <w:t>специализированного жилищного фонда по договорам найма специализированных жилых помещений, - 155 детей;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численность приемных семей в республике - 125 семей;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реализовано, - 2,3 процента;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доля детей,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защиты, - 100 процентов;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число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3 лет, - 5200 семей;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 - 20100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предоставление отдельных мер социальной поддержки гражданам, подвергшимся воздействию радиации, - 0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помощь, - 13 процентов;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ввод в эксплуатацию объектов капитального строительства для размещения граждан в стационарных организациях социального обслуживания - 1 объект;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численность семей, получивших меру поддержки, в рамках губернаторского проекта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Pr="00027C0F">
              <w:rPr>
                <w:rFonts w:cs="Times New Roman"/>
                <w:sz w:val="24"/>
                <w:szCs w:val="24"/>
              </w:rPr>
              <w:t>Социальный картофель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Pr="00027C0F">
              <w:rPr>
                <w:rFonts w:cs="Times New Roman"/>
                <w:sz w:val="24"/>
                <w:szCs w:val="24"/>
              </w:rPr>
              <w:t>, - 1340 семей;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численность семей, получивших меру поддержки, в рамках губернаторского проекта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Pr="00027C0F">
              <w:rPr>
                <w:rFonts w:cs="Times New Roman"/>
                <w:sz w:val="24"/>
                <w:szCs w:val="24"/>
              </w:rPr>
              <w:t>Корова - кормилица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Pr="00027C0F">
              <w:rPr>
                <w:rFonts w:cs="Times New Roman"/>
                <w:sz w:val="24"/>
                <w:szCs w:val="24"/>
              </w:rPr>
              <w:t>, - 0 семей;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численность семей, получивших меру поддержки, в рамках губернаторского проекта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Pr="00027C0F">
              <w:rPr>
                <w:rFonts w:cs="Times New Roman"/>
                <w:sz w:val="24"/>
                <w:szCs w:val="24"/>
              </w:rPr>
              <w:t>Социальный уголь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Pr="00027C0F">
              <w:rPr>
                <w:rFonts w:cs="Times New Roman"/>
                <w:sz w:val="24"/>
                <w:szCs w:val="24"/>
              </w:rPr>
              <w:t>, - 3222 семей;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число детей в возрасте от 3 до 7 лет включительно, в отношении которых в отчетном году произведена ежемесячная выплата в целях повышения доходов </w:t>
            </w:r>
            <w:r w:rsidRPr="00027C0F">
              <w:rPr>
                <w:rFonts w:cs="Times New Roman"/>
                <w:sz w:val="24"/>
                <w:szCs w:val="24"/>
              </w:rPr>
              <w:lastRenderedPageBreak/>
              <w:t>семей с детьми, - 32580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общее число детей-сирот и детей, оставшихся без попечения родителей, - 3870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устроенных в семейные формы устройства, - 3685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удельный вес детей, прошедших социальную реабилитацию в специальных учреждениях для несовершеннолетних, к общему числу безнадзорных и беспризорных - 100 процентов;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старше, - 4596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приобретение жилых помещений в собственность, - 5 человек;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объектов, - 48 человек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EF32E4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lastRenderedPageBreak/>
              <w:t>Этапы и сроки реализации п</w:t>
            </w:r>
            <w:r w:rsidR="00DC07C6"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2021 - 2023 годы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EF32E4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Объемы бюджетных ассигнований п</w:t>
            </w:r>
            <w:r w:rsidR="00DC07C6"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общий объем финансирования за счет всех источников составляет 26898729,2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- 9109003,9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- 8551474,3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- 9238250,9 тыс. рублей,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из них за счет средств федерального бюджета - 19815234,3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- 6797675,9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- 6123792,7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- 6893765,7 тыс. рублей,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за счет средств республиканского бюджета Республики Тыва - 6775394,9 тыс. рублей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- 2208628,2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- 2324981,6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- 2241785,1 тыс. рублей,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за счет внебюджетных источников - 308100,0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lastRenderedPageBreak/>
              <w:t>в 2021 г. - 102700,0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- 102700,0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- 102700,0 тыс. рублей.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Финансирование по подпрограммам:</w:t>
            </w:r>
          </w:p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10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1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Предоставление мер социальной поддержки отдельным категориям граждан в Республике Тыва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="00DC07C6" w:rsidRPr="00027C0F">
              <w:rPr>
                <w:rFonts w:cs="Times New Roman"/>
                <w:sz w:val="24"/>
                <w:szCs w:val="24"/>
              </w:rPr>
              <w:t xml:space="preserve"> - общие затраты за счет всех источников финансирования составляют 3640121,1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- 1118615,4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- 1259465,9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- 1262039,8 тыс. рублей, из них: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за счет средств федерального бюджета - 2178790,9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- 654014,9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- 755977,2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- 768798,8 тыс. рублей,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за счет средств республиканского бюджета - 1461330,2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- 464600,5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- 503488,7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- 493241,0 тыс. рублей;</w:t>
            </w:r>
          </w:p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11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2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Социальная поддержка и обслуживание граждан пожилого возраста и инвалидов в Республике Тыва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="00DC07C6" w:rsidRPr="00027C0F">
              <w:rPr>
                <w:rFonts w:cs="Times New Roman"/>
                <w:sz w:val="24"/>
                <w:szCs w:val="24"/>
              </w:rPr>
              <w:t xml:space="preserve"> - общие затраты за счет всех источников финансирования составляют 2696761,6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- 856227,1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- 679601,5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- 1160933,0 тыс. рублей, из них: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за счет средств федерального бюджета - 903500,4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- 248548,6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- 76318,1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- 578633,7 тыс. рублей,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за счет средств республиканского бюджета - 1485161,2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- 504978,5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- 500583,4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- 479599,3 тыс. рублей,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за счет внебюджетных источников - 308100,0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- 102700,0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- 102700,0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- 102700,0 тыс. рублей;</w:t>
            </w:r>
          </w:p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12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3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Социальная реабилитация лиц, освободившихся из мест лишения свободы, и лиц, осужденных без изоляции от общества,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="00DC07C6" w:rsidRPr="00027C0F">
              <w:rPr>
                <w:rFonts w:cs="Times New Roman"/>
                <w:sz w:val="24"/>
                <w:szCs w:val="24"/>
              </w:rPr>
              <w:t xml:space="preserve"> - финансирование расходов на реализацию мероприятий подпрограммы не предусмотрено;</w:t>
            </w:r>
          </w:p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13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4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Поддержка социально ориентированных некоммерческих организаций в Республике Тыва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="00DC07C6" w:rsidRPr="00027C0F">
              <w:rPr>
                <w:rFonts w:cs="Times New Roman"/>
                <w:sz w:val="24"/>
                <w:szCs w:val="24"/>
              </w:rPr>
              <w:t xml:space="preserve"> - общие затраты за счет средств республиканского бюджета Республики Тыва составляют 1150,0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- 1150,0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- 0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- 0 тыс. рублей;</w:t>
            </w:r>
          </w:p>
          <w:p w:rsidR="00DC07C6" w:rsidRPr="00027C0F" w:rsidRDefault="00AF48AD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hyperlink r:id="rId14" w:history="1">
              <w:r w:rsidR="00DC07C6" w:rsidRPr="00027C0F">
                <w:rPr>
                  <w:rFonts w:cs="Times New Roman"/>
                  <w:sz w:val="24"/>
                  <w:szCs w:val="24"/>
                </w:rPr>
                <w:t>подпрограмма 5</w:t>
              </w:r>
            </w:hyperlink>
            <w:r w:rsidR="00DC07C6" w:rsidRPr="00027C0F">
              <w:rPr>
                <w:rFonts w:cs="Times New Roman"/>
                <w:sz w:val="24"/>
                <w:szCs w:val="24"/>
              </w:rPr>
              <w:t xml:space="preserve"> </w:t>
            </w:r>
            <w:r w:rsidR="005F3C05" w:rsidRPr="00027C0F">
              <w:rPr>
                <w:rFonts w:cs="Times New Roman"/>
                <w:sz w:val="24"/>
                <w:szCs w:val="24"/>
              </w:rPr>
              <w:t>«</w:t>
            </w:r>
            <w:r w:rsidR="00DC07C6" w:rsidRPr="00027C0F">
              <w:rPr>
                <w:rFonts w:cs="Times New Roman"/>
                <w:sz w:val="24"/>
                <w:szCs w:val="24"/>
              </w:rPr>
              <w:t>Социальная защита семьи и детей на 2021 - 2023 годы</w:t>
            </w:r>
            <w:r w:rsidR="005F3C05" w:rsidRPr="00027C0F">
              <w:rPr>
                <w:rFonts w:cs="Times New Roman"/>
                <w:sz w:val="24"/>
                <w:szCs w:val="24"/>
              </w:rPr>
              <w:t>»</w:t>
            </w:r>
            <w:r w:rsidR="00DC07C6" w:rsidRPr="00027C0F">
              <w:rPr>
                <w:rFonts w:cs="Times New Roman"/>
                <w:sz w:val="24"/>
                <w:szCs w:val="24"/>
              </w:rPr>
              <w:t xml:space="preserve"> - общие затраты за счет всех источников финансирования составляют 20560696,5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- 7133011,5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- 6612406,9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- 6815278,1 тыс. рублей из них: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за счет средств федерального бюджета - 16732943,0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- 5895112,4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- 5291497,4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- 5546333,2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за счет средств республиканского бюджета - 3827753,5 тыс. рублей, в том числе: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2021 г. - 1237899,1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2022 г. - 1320909,5 тыс. рублей;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в 2023 г. - 1268944,9 тыс. рублей</w:t>
            </w:r>
          </w:p>
        </w:tc>
      </w:tr>
      <w:tr w:rsidR="00DC07C6" w:rsidRPr="00027C0F">
        <w:tc>
          <w:tcPr>
            <w:tcW w:w="3118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lastRenderedPageBreak/>
              <w:t>О</w:t>
            </w:r>
            <w:r w:rsidR="00EF32E4" w:rsidRPr="00027C0F">
              <w:rPr>
                <w:rFonts w:cs="Times New Roman"/>
                <w:sz w:val="24"/>
                <w:szCs w:val="24"/>
              </w:rPr>
              <w:t>жидаемые результаты реализации п</w:t>
            </w:r>
            <w:r w:rsidRPr="00027C0F">
              <w:rPr>
                <w:rFonts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в полном объеме гарантированных государством социальных выплат отдельным категориям граждан;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совершенствование региональной нормативной правовой базы, направленной на усиление адресности при предоставлении мер социальной поддержки, оптимизация бюджетных расходов;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улучшение жилищных условий около 8 ветеранов боевых действий и 28 инвалидов;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обеспечение оперативного получения гражданами пожилого возраста необходимой информации в полном объеме о принимаемых мерах по улучшению их правового, социально-экономического положения, о предоставляемых социальных услугах организациями социального обслуживания через средства массовой информации и социальные сети;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оказание санаторно-курортного лечения ежегодно не менее 10 ветеранам войны и труда;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оказание материальной помощи ветеранам войны и труда ежегодно не менее 5 чел.;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увеличение охвата пожилых людей, принявших участие в социально значимых мероприятиях, до 1600 чел.;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 xml:space="preserve">повышение удовлетворенности качеством предоставления социальных услуг их получателями </w:t>
            </w:r>
            <w:r w:rsidRPr="00027C0F">
              <w:rPr>
                <w:rFonts w:cs="Times New Roman"/>
                <w:sz w:val="24"/>
                <w:szCs w:val="24"/>
              </w:rPr>
              <w:lastRenderedPageBreak/>
              <w:t>в стационарных организациях социального обслуживания от 92 до 100 процентов;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увеличение числа негосударственных учреждений, некоммерческих организаций, субъектов малого и среднего бизнеса, участвующих в предоставлении социальных услуг в сфере социального обслуживания, до 3 ед.;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достижение численности лиц, освободившихся из мест лишения свободы, и лиц, осужденных без изоляции от общества, получивших государственные услуги по содействию в поиске работы, организации общественных и временных работ и временного трудоустройства, 112 чел. против 92 в 2020 году;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увеличение количества социально ориентированных некоммерческих организаций, принявших участие в конкурсе для получения государственной поддержки (35,3 процента или 20 ед.);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увеличение доли законопроектов, в экспертизе которых приняли участие представители социально ориентированных некоммерческих организаций, в общем количестве разработанных законопроектов - от 60 до 100 процентов;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исполнение обязательств государства по социальной поддержке семей с детьми;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увеличение числа детей, находящихся в трудной жизненной ситуации, отдохнувших в детских оздоровительных лагерях стационарного типа;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удовлетворенность социальным сопровождением семей с детьми - 85 процентов от общей численности семей, получивших помощь по социальному сопровождению;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создание условий для предоставления качественных социальных услуг;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увеличение уровня обеспеченности населения жильем путем обеспечения государственной поддержкой детей-сирот,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ежегодно;</w:t>
            </w:r>
          </w:p>
          <w:p w:rsidR="00DC07C6" w:rsidRPr="00027C0F" w:rsidRDefault="00DC07C6" w:rsidP="00255C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7C0F">
              <w:rPr>
                <w:rFonts w:cs="Times New Roman"/>
                <w:sz w:val="24"/>
                <w:szCs w:val="24"/>
              </w:rPr>
              <w:t>снижение доли семей с детьми, находящихся в социально опасном положении, в общей численности семей с детьми, состоящих на учете в организациях социального обслуживания населения снизится с 11,9 процента в 2020 году до 9,6 процента в 2023 году.</w:t>
            </w:r>
          </w:p>
        </w:tc>
      </w:tr>
    </w:tbl>
    <w:p w:rsidR="00DC07C6" w:rsidRPr="00027C0F" w:rsidRDefault="00DC07C6" w:rsidP="00255C54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BD5AD7" w:rsidRPr="00027C0F" w:rsidRDefault="00BD5AD7" w:rsidP="00255C54">
      <w:pPr>
        <w:ind w:firstLine="0"/>
        <w:rPr>
          <w:rFonts w:cs="Times New Roman"/>
          <w:sz w:val="24"/>
          <w:szCs w:val="24"/>
        </w:rPr>
      </w:pPr>
    </w:p>
    <w:sectPr w:rsidR="00BD5AD7" w:rsidRPr="00027C0F" w:rsidSect="0017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BF"/>
    <w:rsid w:val="00027C0F"/>
    <w:rsid w:val="000F79DE"/>
    <w:rsid w:val="00125E17"/>
    <w:rsid w:val="00255C54"/>
    <w:rsid w:val="002823E2"/>
    <w:rsid w:val="002E1B55"/>
    <w:rsid w:val="00460A4F"/>
    <w:rsid w:val="004740D8"/>
    <w:rsid w:val="005F3C05"/>
    <w:rsid w:val="006F086D"/>
    <w:rsid w:val="00894EBF"/>
    <w:rsid w:val="00AF48AD"/>
    <w:rsid w:val="00B86132"/>
    <w:rsid w:val="00BA190D"/>
    <w:rsid w:val="00BD2DB7"/>
    <w:rsid w:val="00BD5AD7"/>
    <w:rsid w:val="00C75424"/>
    <w:rsid w:val="00DC07C6"/>
    <w:rsid w:val="00E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4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4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75F6EF86CF0DD311050F2542A8D799A7A09AEDE210E9DDF228F3EAD9D30E318BA48AB0720DB8A01F870DCD6F544FA544A3D838533BE2C0772C7P0W0D" TargetMode="External"/><Relationship Id="rId13" Type="http://schemas.openxmlformats.org/officeDocument/2006/relationships/hyperlink" Target="consultantplus://offline/ref=9AE75F6EF86CF0DD311050F2542A8D799A7A09AEDE210E9DDF228F3EAD9D30E318BA48AB0720DB8A01F870DCD6F544FA544A3D838533BE2C0772C7P0W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75F6EF86CF0DD311050F2542A8D799A7A09AEDE210E9DDF228F3EAD9D30E318BA48AB0720DB8A01F772D5D6F544FA544A3D838533BE2C0772C7P0W0D" TargetMode="External"/><Relationship Id="rId12" Type="http://schemas.openxmlformats.org/officeDocument/2006/relationships/hyperlink" Target="consultantplus://offline/ref=9AE75F6EF86CF0DD311050F2542A8D799A7A09AEDE210E9DDF228F3EAD9D30E318BA48AB0720DB8A01F772D5D6F544FA544A3D838533BE2C0772C7P0W0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75F6EF86CF0DD311050F2542A8D799A7A09AEDE210E9DDF228F3EAD9D30E318BA48AB0720DB8A01F578D1D6F544FA544A3D838533BE2C0772C7P0W0D" TargetMode="External"/><Relationship Id="rId11" Type="http://schemas.openxmlformats.org/officeDocument/2006/relationships/hyperlink" Target="consultantplus://offline/ref=9AE75F6EF86CF0DD311050F2542A8D799A7A09AEDE210E9DDF228F3EAD9D30E318BA48AB0720DB8A01F578D1D6F544FA544A3D838533BE2C0772C7P0W0D" TargetMode="External"/><Relationship Id="rId5" Type="http://schemas.openxmlformats.org/officeDocument/2006/relationships/hyperlink" Target="consultantplus://offline/ref=9AE75F6EF86CF0DD311050F2542A8D799A7A09AEDE210E9DDF228F3EAD9D30E318BA48AB0720DB8A01F478D4D6F544FA544A3D838533BE2C0772C7P0W0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E75F6EF86CF0DD311050F2542A8D799A7A09AEDE210E9DDF228F3EAD9D30E318BA48AB0720DB8A01F478D4D6F544FA544A3D838533BE2C0772C7P0W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75F6EF86CF0DD311050F2542A8D799A7A09AEDE210E9DDF228F3EAD9D30E318BA48AB0720DB8A01F970DCD6F544FA544A3D838533BE2C0772C7P0W0D" TargetMode="External"/><Relationship Id="rId14" Type="http://schemas.openxmlformats.org/officeDocument/2006/relationships/hyperlink" Target="consultantplus://offline/ref=9AE75F6EF86CF0DD311050F2542A8D799A7A09AEDE210E9DDF228F3EAD9D30E318BA48AB0720DB8A01F970DCD6F544FA544A3D838533BE2C0772C7P0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Лопсан Станислав Евгеньевич</dc:creator>
  <cp:lastModifiedBy>Хомушку Снежана Сергеевна</cp:lastModifiedBy>
  <cp:revision>16</cp:revision>
  <cp:lastPrinted>2022-10-21T10:41:00Z</cp:lastPrinted>
  <dcterms:created xsi:type="dcterms:W3CDTF">2021-10-24T14:36:00Z</dcterms:created>
  <dcterms:modified xsi:type="dcterms:W3CDTF">2022-10-29T14:06:00Z</dcterms:modified>
</cp:coreProperties>
</file>